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rFonts w:ascii="DM Sans" w:cs="DM Sans" w:eastAsia="DM Sans" w:hAnsi="DM Sans"/>
          <w:b/>
          <w:bCs/>
          <w:color w:val="00F5C8"/>
          <w:sz w:val="20"/>
          <w:szCs w:val="20"/>
        </w:rPr>
        <w:t xml:space="preserve">PRODUCT VISION STATEMENT</w:t>
      </w:r>
    </w:p>
    <w:p>
      <w:pPr>
        <w:spacing w:after="240"/>
      </w:pPr>
      <w:r>
        <w:rPr>
          <w:rFonts w:ascii="Sora" w:cs="Sora" w:eastAsia="Sora" w:hAnsi="Sora"/>
          <w:b/>
          <w:bCs/>
          <w:color w:val="0A1325"/>
          <w:sz w:val="32"/>
          <w:szCs w:val="32"/>
        </w:rPr>
        <w:t xml:space="preserve">FOXHEIGHT / FoxOS — Local-First Computational Engineering Platform</w:t>
      </w:r>
    </w:p>
    <w:p>
      <w:pPr>
        <w:pBdr>
          <w:bottom w:val="single" w:color="00F5C8" w:sz="8" w:space="4"/>
        </w:pBdr>
        <w:spacing w:after="160" w:before="320"/>
      </w:pPr>
      <w:r>
        <w:rPr>
          <w:rFonts w:ascii="Sora" w:cs="Sora" w:eastAsia="Sora" w:hAnsi="Sora"/>
          <w:b/>
          <w:bCs/>
          <w:color w:val="0A1325"/>
          <w:sz w:val="24"/>
          <w:szCs w:val="24"/>
        </w:rPr>
        <w:t xml:space="preserve">Vision</w:t>
      </w:r>
    </w:p>
    <w:p>
      <w:pPr>
        <w:spacing w:after="160"/>
      </w:pPr>
      <w:r>
        <w:rPr>
          <w:rFonts w:ascii="DM Sans" w:cs="DM Sans" w:eastAsia="DM Sans" w:hAnsi="DM Sans"/>
          <w:color w:val="111111"/>
          <w:sz w:val="22"/>
          <w:szCs w:val="22"/>
        </w:rPr>
        <w:t xml:space="preserve">FOXHEIGHT gives engineers a computational platform that tells the truth about what it can and cannot compute — running locally, under the client’s own control, instead of inside a rented black box. Where most engineering software quietly guesses past its limits, FOXHEIGHT stops and says so. That honesty is the product.</w:t>
      </w:r>
    </w:p>
    <w:p>
      <w:pPr>
        <w:pBdr>
          <w:bottom w:val="single" w:color="00F5C8" w:sz="8" w:space="4"/>
        </w:pBdr>
        <w:spacing w:after="160" w:before="320"/>
      </w:pPr>
      <w:r>
        <w:rPr>
          <w:rFonts w:ascii="Sora" w:cs="Sora" w:eastAsia="Sora" w:hAnsi="Sora"/>
          <w:b/>
          <w:bCs/>
          <w:color w:val="0A1325"/>
          <w:sz w:val="24"/>
          <w:szCs w:val="24"/>
        </w:rPr>
        <w:t xml:space="preserve">The Problem We Solve</w:t>
      </w:r>
    </w:p>
    <w:p>
      <w:pPr>
        <w:spacing w:after="160"/>
      </w:pPr>
      <w:r>
        <w:rPr>
          <w:rFonts w:ascii="DM Sans" w:cs="DM Sans" w:eastAsia="DM Sans" w:hAnsi="DM Sans"/>
          <w:color w:val="111111"/>
          <w:sz w:val="22"/>
          <w:szCs w:val="22"/>
        </w:rPr>
        <w:t xml:space="preserve">Engineering teams across East Africa and beyond are asked to trust simulation results from tools whose actual scope is opaque, and to send sensitive design data into someone else’s cloud to get them. FOXHEIGHT closes both gaps at once: transparent computational scope, and infrastructure the client can run under their own security posture — hosted by Fox Height, or on the client’s own network.</w:t>
      </w:r>
    </w:p>
    <w:p>
      <w:pPr>
        <w:pBdr>
          <w:bottom w:val="single" w:color="00F5C8" w:sz="8" w:space="4"/>
        </w:pBdr>
        <w:spacing w:after="160" w:before="320"/>
      </w:pPr>
      <w:r>
        <w:rPr>
          <w:rFonts w:ascii="Sora" w:cs="Sora" w:eastAsia="Sora" w:hAnsi="Sora"/>
          <w:b/>
          <w:bCs/>
          <w:color w:val="0A1325"/>
          <w:sz w:val="24"/>
          <w:szCs w:val="24"/>
        </w:rPr>
        <w:t xml:space="preserve">Strategic Alignment</w:t>
      </w:r>
    </w:p>
    <w:p>
      <w:pPr>
        <w:pStyle w:val="ListParagraph"/>
        <w:numPr>
          <w:ilvl w:val="0"/>
          <w:numId w:val="2"/>
        </w:numPr>
        <w:spacing w:after="100"/>
      </w:pPr>
      <w:r>
        <w:rPr>
          <w:rFonts w:ascii="DM Sans" w:cs="DM Sans" w:eastAsia="DM Sans" w:hAnsi="DM Sans"/>
          <w:color w:val="111111"/>
          <w:sz w:val="22"/>
          <w:szCs w:val="22"/>
        </w:rPr>
        <w:t xml:space="preserve">Extends Fox Height’s core mandate — trusted cloud and AI infrastructure for East African enterprises, SACCOs, healthcare networks, NGOs, and public sector — into computational engineering, a market currently served only by expensive, opaque foreign tools.</w:t>
      </w:r>
    </w:p>
    <w:p>
      <w:pPr>
        <w:pStyle w:val="ListParagraph"/>
        <w:numPr>
          <w:ilvl w:val="0"/>
          <w:numId w:val="2"/>
        </w:numPr>
        <w:spacing w:after="100"/>
      </w:pPr>
      <w:r>
        <w:rPr>
          <w:rFonts w:ascii="DM Sans" w:cs="DM Sans" w:eastAsia="DM Sans" w:hAnsi="DM Sans"/>
          <w:color w:val="111111"/>
          <w:sz w:val="22"/>
          <w:szCs w:val="22"/>
        </w:rPr>
        <w:t xml:space="preserve">Builds directly on Fox Height’s Microsoft Cloud Partner status: the same Azure-hosted, managed-services relationship that sells cloud migration and managed security can carry FOXHEIGHT as a hosted engineering offering.</w:t>
      </w:r>
    </w:p>
    <w:p>
      <w:pPr>
        <w:pStyle w:val="ListParagraph"/>
        <w:numPr>
          <w:ilvl w:val="0"/>
          <w:numId w:val="2"/>
        </w:numPr>
        <w:spacing w:after="100"/>
      </w:pPr>
      <w:r>
        <w:rPr>
          <w:rFonts w:ascii="DM Sans" w:cs="DM Sans" w:eastAsia="DM Sans" w:hAnsi="DM Sans"/>
          <w:color w:val="111111"/>
          <w:sz w:val="22"/>
          <w:szCs w:val="22"/>
        </w:rPr>
        <w:t xml:space="preserve">Turns engineering honesty into commercial differentiation — a documented, audited scope (what is IMPLEMENTED, what is not) is a trust asset competitors do not offer, and a natural fit for regulated or safety-conscious clients.</w:t>
      </w:r>
    </w:p>
    <w:p>
      <w:pPr>
        <w:pBdr>
          <w:bottom w:val="single" w:color="00F5C8" w:sz="8" w:space="4"/>
        </w:pBdr>
        <w:spacing w:after="160" w:before="320"/>
      </w:pPr>
      <w:r>
        <w:rPr>
          <w:rFonts w:ascii="Sora" w:cs="Sora" w:eastAsia="Sora" w:hAnsi="Sora"/>
          <w:b/>
          <w:bCs/>
          <w:color w:val="0A1325"/>
          <w:sz w:val="24"/>
          <w:szCs w:val="24"/>
        </w:rPr>
        <w:t xml:space="preserve">What We Ship Next — In Priority Order</w:t>
      </w:r>
    </w:p>
    <w:p>
      <w:pPr>
        <w:pStyle w:val="ListParagraph"/>
        <w:numPr>
          <w:ilvl w:val="0"/>
          <w:numId w:val="2"/>
        </w:numPr>
        <w:spacing w:after="100"/>
      </w:pPr>
      <w:r>
        <w:rPr>
          <w:rFonts w:ascii="DM Sans" w:cs="DM Sans" w:eastAsia="DM Sans" w:hAnsi="DM Sans"/>
          <w:color w:val="111111"/>
          <w:sz w:val="22"/>
          <w:szCs w:val="22"/>
        </w:rPr>
        <w:t xml:space="preserve">Sell the validated core — FEM, CFD, and Electrical engines — as a hosted, per-tenant service with real authentication and isolation, not a promise of full CAD/simulation coverage.</w:t>
      </w:r>
    </w:p>
    <w:p>
      <w:pPr>
        <w:pStyle w:val="ListParagraph"/>
        <w:numPr>
          <w:ilvl w:val="0"/>
          <w:numId w:val="2"/>
        </w:numPr>
        <w:spacing w:after="100"/>
      </w:pPr>
      <w:r>
        <w:rPr>
          <w:rFonts w:ascii="DM Sans" w:cs="DM Sans" w:eastAsia="DM Sans" w:hAnsi="DM Sans"/>
          <w:color w:val="111111"/>
          <w:sz w:val="22"/>
          <w:szCs w:val="22"/>
        </w:rPr>
        <w:t xml:space="preserve">Grow engine scope only as each one earns IMPLEMENTED status through real validation — never by relabeling.</w:t>
      </w:r>
    </w:p>
    <w:p>
      <w:pPr>
        <w:pStyle w:val="ListParagraph"/>
        <w:numPr>
          <w:ilvl w:val="0"/>
          <w:numId w:val="2"/>
        </w:numPr>
        <w:spacing w:after="100"/>
      </w:pPr>
      <w:r>
        <w:rPr>
          <w:rFonts w:ascii="DM Sans" w:cs="DM Sans" w:eastAsia="DM Sans" w:hAnsi="DM Sans"/>
          <w:color w:val="111111"/>
          <w:sz w:val="22"/>
          <w:szCs w:val="22"/>
        </w:rPr>
        <w:t xml:space="preserve">Use every client engagement to harden the platform — audits, security fixes, and honest scope documents are part of the product, not overhead around it.</w:t>
      </w:r>
    </w:p>
    <w:p>
      <w:pPr>
        <w:pBdr>
          <w:top w:val="single" w:color="00F5C8" w:sz="6" w:space="8"/>
        </w:pBdr>
        <w:spacing w:before="280"/>
      </w:pPr>
      <w:r>
        <w:rPr>
          <w:rFonts w:ascii="DM Sans" w:cs="DM Sans" w:eastAsia="DM Sans" w:hAnsi="DM Sans"/>
          <w:i/>
          <w:iCs/>
          <w:color w:val="4A4F58"/>
          <w:sz w:val="18"/>
          <w:szCs w:val="18"/>
        </w:rPr>
        <w:t xml:space="preserve">This template applies the same structure — vision, problem, strategic alignment, next priorities — to any Fox Height project; only the specifics change.</w:t>
      </w:r>
    </w:p>
    <w:sectPr>
      <w:headerReference w:type="default" r:id="rId7"/>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drawing>
        <wp:inline distT="0" distB="0" distL="0" distR="0">
          <wp:extent cx="2095500" cy="838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0" cy="838200"/>
                  </a:xfrm>
                  <a:prstGeom prst="rect">
                    <a:avLst/>
                  </a:prstGeom>
                </pic:spPr>
              </pic:pic>
            </a:graphicData>
          </a:graphic>
        </wp:inline>
      </w:drawing>
    </w:r>
  </w:p>
  <w:p>
    <w:pPr>
      <w:pBdr>
        <w:bottom w:val="single" w:color="0A1325" w:sz="6" w:space="6"/>
      </w:pBd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ac326c20f0a5afdfab325d4adf18b7b61eedfb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2026-08-22T20:16:44.864Z</dcterms:created>
  <dcterms:modified xsi:type="dcterms:W3CDTF">2026-08-22T20:16:44.877Z</dcterms:modified>
</cp:coreProperties>
</file>

<file path=docProps/custom.xml><?xml version="1.0" encoding="utf-8"?>
<Properties xmlns="http://schemas.openxmlformats.org/officeDocument/2006/custom-properties" xmlns:vt="http://schemas.openxmlformats.org/officeDocument/2006/docPropsVTypes"/>
</file>