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80"/>
      </w:pPr>
      <w:r>
        <w:rPr>
          <w:rFonts w:ascii="DM Sans" w:cs="DM Sans" w:eastAsia="DM Sans" w:hAnsi="DM Sans"/>
          <w:b/>
          <w:bCs/>
          <w:color w:val="5C6773"/>
          <w:spacing w:val="20"/>
          <w:sz w:val="18"/>
          <w:szCs w:val="18"/>
        </w:rPr>
        <w:t xml:space="preserve">PRODUCT VISION STATEMENT</w:t>
      </w:r>
    </w:p>
    <w:p>
      <w:pPr>
        <w:spacing w:after="200"/>
      </w:pPr>
      <w:r>
        <w:rPr>
          <w:rFonts w:ascii="Sora" w:cs="Sora" w:eastAsia="Sora" w:hAnsi="Sora"/>
          <w:b/>
          <w:bCs/>
          <w:color w:val="0A1325"/>
          <w:sz w:val="40"/>
          <w:szCs w:val="40"/>
        </w:rPr>
        <w:t xml:space="preserve">NEXORA — The Living World Simulation</w:t>
      </w:r>
    </w:p>
    <w:p>
      <w:pPr>
        <w:pBdr>
          <w:left w:val="single" w:color="00F5C8" w:sz="24" w:space="8"/>
        </w:pBdr>
        <w:shd w:fill="F2FBF9" w:val="clear"/>
        <w:spacing w:after="300" w:before="60"/>
        <w:ind w:left="200" w:right="200"/>
      </w:pPr>
      <w:r>
        <w:rPr>
          <w:rFonts w:ascii="Sora" w:cs="Sora" w:eastAsia="Sora" w:hAnsi="Sora"/>
          <w:i/>
          <w:iCs/>
          <w:color w:val="0A1325"/>
          <w:sz w:val="24"/>
          <w:szCs w:val="24"/>
        </w:rPr>
        <w:t xml:space="preserve">NEXORA gives every player one persistent, programmable world in which to become someone — not just to play a level. It replaces “what game do you want to play” with “who do you want to become, and what will you build,” turning careers, cities, and code into a single connected simulation of life.</w:t>
      </w:r>
    </w:p>
    <w:p>
      <w:pPr>
        <w:pStyle w:val="Heading1"/>
        <w:pBdr>
          <w:bottom w:val="single" w:color="00F5C8" w:sz="10" w:space="4"/>
        </w:pBdr>
        <w:spacing w:after="140" w:before="320"/>
      </w:pPr>
      <w:r>
        <w:rPr>
          <w:rFonts w:ascii="Sora" w:cs="Sora" w:eastAsia="Sora" w:hAnsi="Sora"/>
          <w:b/>
          <w:bCs/>
          <w:color w:val="0A1325"/>
          <w:sz w:val="26"/>
          <w:szCs w:val="26"/>
        </w:rPr>
        <w:t xml:space="preserve">Why This Matters</w:t>
      </w:r>
    </w:p>
    <w:p>
      <w:pPr>
        <w:spacing w:after="160" w:line="300"/>
      </w:pPr>
      <w:r>
        <w:rPr>
          <w:rFonts w:ascii="DM Sans" w:cs="DM Sans" w:eastAsia="DM Sans" w:hAnsi="DM Sans"/>
          <w:color w:val="1B2430"/>
          <w:sz w:val="22"/>
          <w:szCs w:val="22"/>
        </w:rPr>
        <w:t xml:space="preserve">Open-world and career-sim games today are shallow menus dressed up as worlds: pick a class, complete a mission, collect a reward. NEXORA is a bet on something structurally different — a living civilization where careers are real systems, institutions actually function, and the player's choices ripple through an economy that keeps running whether or not they're logged in. That difference is the product, and it's also the moat.</w:t>
      </w:r>
    </w:p>
    <w:p>
      <w:pPr>
        <w:pStyle w:val="Heading1"/>
        <w:pBdr>
          <w:bottom w:val="single" w:color="00F5C8" w:sz="10" w:space="4"/>
        </w:pBdr>
        <w:spacing w:after="140" w:before="320"/>
      </w:pPr>
      <w:r>
        <w:rPr>
          <w:rFonts w:ascii="Sora" w:cs="Sora" w:eastAsia="Sora" w:hAnsi="Sora"/>
          <w:b/>
          <w:bCs/>
          <w:color w:val="0A1325"/>
          <w:sz w:val="26"/>
          <w:szCs w:val="26"/>
        </w:rPr>
        <w:t xml:space="preserve">Strategic Alignment</w:t>
      </w:r>
    </w:p>
    <w:p>
      <w:pPr>
        <w:pStyle w:val="ListParagraph"/>
        <w:numPr>
          <w:ilvl w:val="0"/>
          <w:numId w:val="2"/>
        </w:numPr>
        <w:spacing w:after="90" w:line="280"/>
      </w:pPr>
      <w:r>
        <w:rPr>
          <w:rFonts w:ascii="DM Sans" w:cs="DM Sans" w:eastAsia="DM Sans" w:hAnsi="DM Sans"/>
          <w:b/>
          <w:bCs/>
          <w:color w:val="0A1325"/>
          <w:sz w:val="21"/>
          <w:szCs w:val="21"/>
        </w:rPr>
        <w:t xml:space="preserve">Platform capability — </w:t>
      </w:r>
      <w:r>
        <w:rPr>
          <w:rFonts w:ascii="DM Sans" w:cs="DM Sans" w:eastAsia="DM Sans" w:hAnsi="DM Sans"/>
          <w:color w:val="1B2430"/>
          <w:sz w:val="21"/>
          <w:szCs w:val="21"/>
        </w:rPr>
        <w:t xml:space="preserve">NEXORA is Fox Height's proving ground for applied AI and simulation engineering — the same city-, career-, and NPC-behavior engines are directly reusable in enterprise digital-twin and workforce-simulation work.</w:t>
      </w:r>
    </w:p>
    <w:p>
      <w:pPr>
        <w:pStyle w:val="ListParagraph"/>
        <w:numPr>
          <w:ilvl w:val="0"/>
          <w:numId w:val="2"/>
        </w:numPr>
        <w:spacing w:after="90" w:line="280"/>
      </w:pPr>
      <w:r>
        <w:rPr>
          <w:rFonts w:ascii="DM Sans" w:cs="DM Sans" w:eastAsia="DM Sans" w:hAnsi="DM Sans"/>
          <w:b/>
          <w:bCs/>
          <w:color w:val="0A1325"/>
          <w:sz w:val="21"/>
          <w:szCs w:val="21"/>
        </w:rPr>
        <w:t xml:space="preserve">Engineering credibility — </w:t>
      </w:r>
      <w:r>
        <w:rPr>
          <w:rFonts w:ascii="DM Sans" w:cs="DM Sans" w:eastAsia="DM Sans" w:hAnsi="DM Sans"/>
          <w:color w:val="1B2430"/>
          <w:sz w:val="21"/>
          <w:szCs w:val="21"/>
        </w:rPr>
        <w:t xml:space="preserve">A local-first, zero-dependency architecture mirrors Fox Height's managed-cloud discipline: nothing is delivered that can't run reliably, offline, and under the client's own control.</w:t>
      </w:r>
    </w:p>
    <w:p>
      <w:pPr>
        <w:pStyle w:val="ListParagraph"/>
        <w:numPr>
          <w:ilvl w:val="0"/>
          <w:numId w:val="2"/>
        </w:numPr>
        <w:spacing w:after="90" w:line="280"/>
      </w:pPr>
      <w:r>
        <w:rPr>
          <w:rFonts w:ascii="DM Sans" w:cs="DM Sans" w:eastAsia="DM Sans" w:hAnsi="DM Sans"/>
          <w:b/>
          <w:bCs/>
          <w:color w:val="0A1325"/>
          <w:sz w:val="21"/>
          <w:szCs w:val="21"/>
        </w:rPr>
        <w:t xml:space="preserve">Commercial signal — </w:t>
      </w:r>
      <w:r>
        <w:rPr>
          <w:rFonts w:ascii="DM Sans" w:cs="DM Sans" w:eastAsia="DM Sans" w:hAnsi="DM Sans"/>
          <w:color w:val="1B2430"/>
          <w:sz w:val="21"/>
          <w:szCs w:val="21"/>
        </w:rPr>
        <w:t xml:space="preserve">The Creator/Developer layer (“Code Mode”) is a live demonstration of programmable, AI-assisted world-building — a compelling reference product when engaging partners and enterprise prospects.</w:t>
      </w:r>
    </w:p>
    <w:p>
      <w:pPr>
        <w:pStyle w:val="Heading1"/>
        <w:pBdr>
          <w:bottom w:val="single" w:color="00F5C8" w:sz="10" w:space="4"/>
        </w:pBdr>
        <w:spacing w:after="140" w:before="320"/>
      </w:pPr>
      <w:r>
        <w:rPr>
          <w:rFonts w:ascii="Sora" w:cs="Sora" w:eastAsia="Sora" w:hAnsi="Sora"/>
          <w:b/>
          <w:bCs/>
          <w:color w:val="0A1325"/>
          <w:sz w:val="26"/>
          <w:szCs w:val="26"/>
        </w:rPr>
        <w:t xml:space="preserve">Core Pillars</w:t>
      </w:r>
    </w:p>
    <w:p>
      <w:pPr>
        <w:pStyle w:val="ListParagraph"/>
        <w:numPr>
          <w:ilvl w:val="0"/>
          <w:numId w:val="2"/>
        </w:numPr>
        <w:spacing w:after="90" w:line="280"/>
      </w:pPr>
      <w:r>
        <w:rPr>
          <w:rFonts w:ascii="DM Sans" w:cs="DM Sans" w:eastAsia="DM Sans" w:hAnsi="DM Sans"/>
          <w:b/>
          <w:bCs/>
          <w:color w:val="0A1325"/>
          <w:sz w:val="21"/>
          <w:szCs w:val="21"/>
        </w:rPr>
        <w:t xml:space="preserve">A career is a system — </w:t>
      </w:r>
      <w:r>
        <w:rPr>
          <w:rFonts w:ascii="DM Sans" w:cs="DM Sans" w:eastAsia="DM Sans" w:hAnsi="DM Sans"/>
          <w:color w:val="1B2430"/>
          <w:sz w:val="21"/>
          <w:szCs w:val="21"/>
        </w:rPr>
        <w:t xml:space="preserve">Thousands of professions, each a real progression system with education, licensing, specialization, and consequence — not a costume.</w:t>
      </w:r>
    </w:p>
    <w:p>
      <w:pPr>
        <w:pStyle w:val="ListParagraph"/>
        <w:numPr>
          <w:ilvl w:val="0"/>
          <w:numId w:val="2"/>
        </w:numPr>
        <w:spacing w:after="90" w:line="280"/>
      </w:pPr>
      <w:r>
        <w:rPr>
          <w:rFonts w:ascii="DM Sans" w:cs="DM Sans" w:eastAsia="DM Sans" w:hAnsi="DM Sans"/>
          <w:b/>
          <w:bCs/>
          <w:color w:val="0A1325"/>
          <w:sz w:val="21"/>
          <w:szCs w:val="21"/>
        </w:rPr>
        <w:t xml:space="preserve">The city is the engine — </w:t>
      </w:r>
      <w:r>
        <w:rPr>
          <w:rFonts w:ascii="DM Sans" w:cs="DM Sans" w:eastAsia="DM Sans" w:hAnsi="DM Sans"/>
          <w:color w:val="1B2430"/>
          <w:sz w:val="21"/>
          <w:szCs w:val="21"/>
        </w:rPr>
        <w:t xml:space="preserve">Hospitals, universities, and airports are functioning simulations with staff, schedules, and state, not decorative backdrops.</w:t>
      </w:r>
    </w:p>
    <w:p>
      <w:pPr>
        <w:pStyle w:val="ListParagraph"/>
        <w:numPr>
          <w:ilvl w:val="0"/>
          <w:numId w:val="2"/>
        </w:numPr>
        <w:spacing w:after="90" w:line="280"/>
      </w:pPr>
      <w:r>
        <w:rPr>
          <w:rFonts w:ascii="DM Sans" w:cs="DM Sans" w:eastAsia="DM Sans" w:hAnsi="DM Sans"/>
          <w:b/>
          <w:bCs/>
          <w:color w:val="0A1325"/>
          <w:sz w:val="21"/>
          <w:szCs w:val="21"/>
        </w:rPr>
        <w:t xml:space="preserve">Causality over scripting — </w:t>
      </w:r>
      <w:r>
        <w:rPr>
          <w:rFonts w:ascii="DM Sans" w:cs="DM Sans" w:eastAsia="DM Sans" w:hAnsi="DM Sans"/>
          <w:color w:val="1B2430"/>
          <w:sz w:val="21"/>
          <w:szCs w:val="21"/>
        </w:rPr>
        <w:t xml:space="preserve">Weather affects traffic, traffic affects labor, labor affects business, business affects the player — decisions matter because the world remembers them.</w:t>
      </w:r>
    </w:p>
    <w:p>
      <w:pPr>
        <w:pStyle w:val="ListParagraph"/>
        <w:numPr>
          <w:ilvl w:val="0"/>
          <w:numId w:val="2"/>
        </w:numPr>
        <w:spacing w:after="90" w:line="280"/>
      </w:pPr>
      <w:r>
        <w:rPr>
          <w:rFonts w:ascii="DM Sans" w:cs="DM Sans" w:eastAsia="DM Sans" w:hAnsi="DM Sans"/>
          <w:b/>
          <w:bCs/>
          <w:color w:val="0A1325"/>
          <w:sz w:val="21"/>
          <w:szCs w:val="21"/>
        </w:rPr>
        <w:t xml:space="preserve">One shared identity model — </w:t>
      </w:r>
      <w:r>
        <w:rPr>
          <w:rFonts w:ascii="DM Sans" w:cs="DM Sans" w:eastAsia="DM Sans" w:hAnsi="DM Sans"/>
          <w:color w:val="1B2430"/>
          <w:sz w:val="21"/>
          <w:szCs w:val="21"/>
        </w:rPr>
        <w:t xml:space="preserve">Every entity — player, NPC, building, vehicle — carries an Artificial Signature: one unified data language the whole simulation reasons over.</w:t>
      </w:r>
    </w:p>
    <w:p>
      <w:pPr>
        <w:pStyle w:val="ListParagraph"/>
        <w:numPr>
          <w:ilvl w:val="0"/>
          <w:numId w:val="2"/>
        </w:numPr>
        <w:spacing w:after="90" w:line="280"/>
      </w:pPr>
      <w:r>
        <w:rPr>
          <w:rFonts w:ascii="DM Sans" w:cs="DM Sans" w:eastAsia="DM Sans" w:hAnsi="DM Sans"/>
          <w:b/>
          <w:bCs/>
          <w:color w:val="0A1325"/>
          <w:sz w:val="21"/>
          <w:szCs w:val="21"/>
        </w:rPr>
        <w:t xml:space="preserve">Programmable, not just playable — </w:t>
      </w:r>
      <w:r>
        <w:rPr>
          <w:rFonts w:ascii="DM Sans" w:cs="DM Sans" w:eastAsia="DM Sans" w:hAnsi="DM Sans"/>
          <w:color w:val="1B2430"/>
          <w:sz w:val="21"/>
          <w:szCs w:val="21"/>
        </w:rPr>
        <w:t xml:space="preserve">Players can open the code behind their world and reshape it — play, create, and program are the same continuum, not separate modes.</w:t>
      </w:r>
    </w:p>
    <w:p>
      <w:pPr>
        <w:pStyle w:val="Heading1"/>
        <w:pBdr>
          <w:bottom w:val="single" w:color="00F5C8" w:sz="10" w:space="4"/>
        </w:pBdr>
        <w:spacing w:after="140" w:before="320"/>
      </w:pPr>
      <w:r>
        <w:rPr>
          <w:rFonts w:ascii="Sora" w:cs="Sora" w:eastAsia="Sora" w:hAnsi="Sora"/>
          <w:b/>
          <w:bCs/>
          <w:color w:val="0A1325"/>
          <w:sz w:val="26"/>
          <w:szCs w:val="26"/>
        </w:rPr>
        <w:t xml:space="preserve">What Success Looks Like</w:t>
      </w:r>
    </w:p>
    <w:p>
      <w:pPr>
        <w:pStyle w:val="ListParagraph"/>
        <w:numPr>
          <w:ilvl w:val="0"/>
          <w:numId w:val="2"/>
        </w:numPr>
        <w:spacing w:after="90" w:line="280"/>
      </w:pPr>
      <w:r>
        <w:rPr>
          <w:rFonts w:ascii="DM Sans" w:cs="DM Sans" w:eastAsia="DM Sans" w:hAnsi="DM Sans"/>
          <w:b/>
          <w:bCs/>
          <w:color w:val="0A1325"/>
          <w:sz w:val="21"/>
          <w:szCs w:val="21"/>
        </w:rPr>
        <w:t xml:space="preserve">Near term — </w:t>
      </w:r>
      <w:r>
        <w:rPr>
          <w:rFonts w:ascii="DM Sans" w:cs="DM Sans" w:eastAsia="DM Sans" w:hAnsi="DM Sans"/>
          <w:color w:val="1B2430"/>
          <w:sz w:val="21"/>
          <w:szCs w:val="21"/>
        </w:rPr>
        <w:t xml:space="preserve">A player can go from “create identity” to “hold a job with real consequences” in one uninterrupted session, with zero menu-hopping.</w:t>
      </w:r>
    </w:p>
    <w:p>
      <w:pPr>
        <w:pStyle w:val="ListParagraph"/>
        <w:numPr>
          <w:ilvl w:val="0"/>
          <w:numId w:val="2"/>
        </w:numPr>
        <w:spacing w:after="90" w:line="280"/>
      </w:pPr>
      <w:r>
        <w:rPr>
          <w:rFonts w:ascii="DM Sans" w:cs="DM Sans" w:eastAsia="DM Sans" w:hAnsi="DM Sans"/>
          <w:b/>
          <w:bCs/>
          <w:color w:val="0A1325"/>
          <w:sz w:val="21"/>
          <w:szCs w:val="21"/>
        </w:rPr>
        <w:t xml:space="preserve">Near term — </w:t>
      </w:r>
      <w:r>
        <w:rPr>
          <w:rFonts w:ascii="DM Sans" w:cs="DM Sans" w:eastAsia="DM Sans" w:hAnsi="DM Sans"/>
          <w:color w:val="1B2430"/>
          <w:sz w:val="21"/>
          <w:szCs w:val="21"/>
        </w:rPr>
        <w:t xml:space="preserve">A second full career system (beyond Medicine) ships using the same progression-graph pattern, proving the architecture generalizes.</w:t>
      </w:r>
    </w:p>
    <w:p>
      <w:pPr>
        <w:pStyle w:val="ListParagraph"/>
        <w:numPr>
          <w:ilvl w:val="0"/>
          <w:numId w:val="2"/>
        </w:numPr>
        <w:spacing w:after="90" w:line="280"/>
      </w:pPr>
      <w:r>
        <w:rPr>
          <w:rFonts w:ascii="DM Sans" w:cs="DM Sans" w:eastAsia="DM Sans" w:hAnsi="DM Sans"/>
          <w:b/>
          <w:bCs/>
          <w:color w:val="0A1325"/>
          <w:sz w:val="21"/>
          <w:szCs w:val="21"/>
        </w:rPr>
        <w:t xml:space="preserve">Mid term — </w:t>
      </w:r>
      <w:r>
        <w:rPr>
          <w:rFonts w:ascii="DM Sans" w:cs="DM Sans" w:eastAsia="DM Sans" w:hAnsi="DM Sans"/>
          <w:color w:val="1B2430"/>
          <w:sz w:val="21"/>
          <w:szCs w:val="21"/>
        </w:rPr>
        <w:t xml:space="preserve">A non-technical creator builds a working custom space (“build a hospital,” “create a racing championship”) without writing code, and a developer extends it via Code Mode without a rewrite.</w:t>
      </w:r>
    </w:p>
    <w:p>
      <w:pPr>
        <w:pStyle w:val="ListParagraph"/>
        <w:numPr>
          <w:ilvl w:val="0"/>
          <w:numId w:val="2"/>
        </w:numPr>
        <w:spacing w:after="90" w:line="280"/>
      </w:pPr>
      <w:r>
        <w:rPr>
          <w:rFonts w:ascii="DM Sans" w:cs="DM Sans" w:eastAsia="DM Sans" w:hAnsi="DM Sans"/>
          <w:b/>
          <w:bCs/>
          <w:color w:val="0A1325"/>
          <w:sz w:val="21"/>
          <w:szCs w:val="21"/>
        </w:rPr>
        <w:t xml:space="preserve">Mid term — </w:t>
      </w:r>
      <w:r>
        <w:rPr>
          <w:rFonts w:ascii="DM Sans" w:cs="DM Sans" w:eastAsia="DM Sans" w:hAnsi="DM Sans"/>
          <w:color w:val="1B2430"/>
          <w:sz w:val="21"/>
          <w:szCs w:val="21"/>
        </w:rPr>
        <w:t xml:space="preserve">Multiple players occupy the same district simultaneously, each pursuing an unrelated career, with the world staying consistent for all of them.</w:t>
      </w:r>
    </w:p>
    <w:p>
      <w:pPr>
        <w:pBdr>
          <w:top w:val="single" w:color="D8DCE1" w:sz="6" w:space="8"/>
        </w:pBdr>
        <w:spacing w:after="0" w:before="260"/>
      </w:pPr>
      <w:r>
        <w:rPr>
          <w:rFonts w:ascii="DM Sans" w:cs="DM Sans" w:eastAsia="DM Sans" w:hAnsi="DM Sans"/>
          <w:i/>
          <w:iCs/>
          <w:color w:val="5C6773"/>
          <w:sz w:val="18"/>
          <w:szCs w:val="18"/>
        </w:rPr>
        <w:t xml:space="preserve">This statement is intentionally structured — Purpose, Strategic Alignment, Pillars, Success Measures — so the same template can be reused for any Fox Height initiative; only the content changes.</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DM Sans" w:cs="DM Sans" w:eastAsia="DM Sans" w:hAnsi="DM Sans"/>
        <w:color w:val="5C6773"/>
        <w:sz w:val="16"/>
        <w:szCs w:val="16"/>
      </w:rPr>
      <w:t xml:space="preserve">Fox Height LTD  ·  Internal — Product Vision  ·  </w:t>
    </w:r>
    <w:r>
      <w:rPr>
        <w:rFonts w:ascii="DM Sans" w:cs="DM Sans" w:eastAsia="DM Sans" w:hAnsi="DM Sans"/>
        <w:color w:val="5C6773"/>
        <w:sz w:val="16"/>
        <w:szCs w:val="16"/>
      </w:rPr>
      <w:t xml:space="preserve">Page </w:t>
    </w:r>
    <w:r>
      <w:rPr>
        <w:rFonts w:ascii="DM Sans" w:cs="DM Sans" w:eastAsia="DM Sans" w:hAnsi="DM Sans"/>
        <w:color w:val="5C6773"/>
        <w:sz w:val="16"/>
        <w:szCs w:val="16"/>
      </w:rPr>
      <w:fldChar w:fldCharType="begin"/>
      <w:instrText xml:space="preserve">PAGE</w:instrText>
      <w:fldChar w:fldCharType="separate"/>
      <w:fldChar w:fldCharType="end"/>
    </w:r>
    <w:r>
      <w:rPr>
        <w:rFonts w:ascii="DM Sans" w:cs="DM Sans" w:eastAsia="DM Sans" w:hAnsi="DM Sans"/>
        <w:color w:val="5C6773"/>
        <w:sz w:val="16"/>
        <w:szCs w:val="16"/>
      </w:rPr>
      <w:t xml:space="preserve"> of </w:t>
    </w:r>
    <w:r>
      <w:rPr>
        <w:rFonts w:ascii="DM Sans" w:cs="DM Sans" w:eastAsia="DM Sans" w:hAnsi="DM Sans"/>
        <w:color w:val="5C6773"/>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8DCE1" w:sz="6" w:space="8"/>
      </w:pBdr>
      <w:spacing w:after="120"/>
      <w:jc w:val="left"/>
    </w:pPr>
    <w:r>
      <w:drawing>
        <wp:inline distT="0" distB="0" distL="0" distR="0">
          <wp:extent cx="1428750" cy="57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428750" cy="5715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3ac326c20f0a5afdfab325d4adf18b7b61eedfbe.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2026-08-22T20:13:35.766Z</dcterms:created>
  <dcterms:modified xsi:type="dcterms:W3CDTF">2026-08-22T20:13:35.781Z</dcterms:modified>
</cp:coreProperties>
</file>

<file path=docProps/custom.xml><?xml version="1.0" encoding="utf-8"?>
<Properties xmlns="http://schemas.openxmlformats.org/officeDocument/2006/custom-properties" xmlns:vt="http://schemas.openxmlformats.org/officeDocument/2006/docPropsVTypes"/>
</file>