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200"/>
      </w:pPr>
    </w:p>
    <w:p>
      <w:pPr>
        <w:jc w:val="center"/>
      </w:pPr>
      <w:r>
        <w:drawing>
          <wp:inline distT="0" distB="0" distL="0" distR="0">
            <wp:extent cx="1238250" cy="10001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40" w:before="160"/>
        <w:jc w:val="center"/>
      </w:pPr>
      <w:r>
        <w:rPr>
          <w:b/>
          <w:bCs/>
          <w:color w:val="0B1F33"/>
          <w:sz w:val="56"/>
          <w:szCs w:val="56"/>
        </w:rPr>
        <w:t xml:space="preserve">FoxCloud</w:t>
      </w:r>
    </w:p>
    <w:p>
      <w:pPr>
        <w:spacing w:after="200"/>
        <w:jc w:val="center"/>
      </w:pPr>
      <w:r>
        <w:rPr>
          <w:i/>
          <w:iCs/>
          <w:color w:val="6B7280"/>
          <w:sz w:val="22"/>
          <w:szCs w:val="22"/>
        </w:rPr>
        <w:t xml:space="preserve">Cloud infrastructure delivery patterns</w:t>
      </w:r>
    </w:p>
    <w:tbl>
      <w:tblPr>
        <w:tblW w:type="dxa" w:w="5200"/>
        <w:jc w:val="center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2600"/>
        <w:gridCol w:w="2600"/>
      </w:tblGrid>
      <w:t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B1F33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pacing w:val="10"/>
                <w:sz w:val="16"/>
                <w:szCs w:val="16"/>
              </w:rPr>
              <w:t xml:space="preserve">INFRASTRUCTURE</w:t>
            </w:r>
          </w:p>
        </w:tc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3A89E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pacing w:val="10"/>
                <w:sz w:val="16"/>
                <w:szCs w:val="16"/>
              </w:rPr>
              <w:t xml:space="preserve">PRODUCTION-ADJACENT</w:t>
            </w:r>
          </w:p>
        </w:tc>
      </w:tr>
    </w:tbl>
    <w:p>
      <w:pPr>
        <w:spacing w:after="260"/>
      </w:pPr>
    </w:p>
    <w:p>
      <w:pPr>
        <w:pBdr>
          <w:bottom w:val="single" w:color="D9DEE2" w:sz="4" w:space="1"/>
        </w:pBdr>
        <w:spacing w:after="200"/>
      </w:pPr>
    </w:p>
    <w:p>
      <w:pPr>
        <w:pStyle w:val="Heading1"/>
        <w:pBdr>
          <w:bottom w:val="single" w:color="13A89E" w:sz="8" w:space="4"/>
        </w:pBdr>
        <w:spacing w:after="160" w:before="320"/>
      </w:pPr>
      <w:r>
        <w:rPr>
          <w:b/>
          <w:bCs/>
          <w:color w:val="0B1F33"/>
          <w:sz w:val="30"/>
          <w:szCs w:val="30"/>
        </w:rPr>
        <w:t xml:space="preserve">Product Overview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Mission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FoxCloud packages hybrid cloud delivery habits — identity boundaries, environment promotion, backup posture — for teams shipping on real hosts.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What it is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Production-adjacent guidance informed by landing-zone style separation. Not a hyperscaler replacement; a delivery discipline layer.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Core Capabilities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Landing-zone oriented checklists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Environment promotion models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Backup and recovery posture notes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Cost visibility concepts for operators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Use Cases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Landing-zone reviews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DR tabletop exercises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Environment promotion gates</w:t>
      </w:r>
    </w:p>
    <w:p>
      <w:pPr>
        <w:pStyle w:val="Heading1"/>
        <w:pBdr>
          <w:bottom w:val="single" w:color="13A89E" w:sz="8" w:space="4"/>
        </w:pBdr>
        <w:spacing w:after="160" w:before="320"/>
      </w:pPr>
      <w:r>
        <w:rPr>
          <w:b/>
          <w:bCs/>
          <w:color w:val="0B1F33"/>
          <w:sz w:val="30"/>
          <w:szCs w:val="30"/>
        </w:rPr>
        <w:t xml:space="preserve">Technology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Architecture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Environments promote deliberately. Identity sits in front of resources. Logs and backups are planned before scale stories.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Security Posture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Secrets stay out of web roots. TLS is assumed at the edge. Admin surfaces remain role-gated.</w:t>
      </w:r>
    </w:p>
    <w:p>
      <w:pPr>
        <w:pStyle w:val="Heading1"/>
        <w:pBdr>
          <w:bottom w:val="single" w:color="13A89E" w:sz="8" w:space="4"/>
        </w:pBdr>
        <w:spacing w:after="160" w:before="320"/>
      </w:pPr>
      <w:r>
        <w:rPr>
          <w:b/>
          <w:bCs/>
          <w:color w:val="0B1F33"/>
          <w:sz w:val="30"/>
          <w:szCs w:val="30"/>
        </w:rPr>
        <w:t xml:space="preserve">Ecosystem &amp; Roadmap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Declared Relations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foxai DEPLOYED ON FoxCloud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FoxCloud SECURED BY foxshield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FoxCloud INTEGRATES WITH foxlink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foxedge EXTENDS FoxCloud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foxgreen SUPPORTS FoxCloud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Open Research Question</w:t>
      </w:r>
    </w:p>
    <w:p>
      <w:pPr>
        <w:spacing w:after="140" w:line="300"/>
      </w:pPr>
      <w:r>
        <w:rPr>
          <w:i/>
          <w:iCs/>
          <w:color w:val="222222"/>
          <w:sz w:val="21"/>
          <w:szCs w:val="21"/>
        </w:rPr>
        <w:t xml:space="preserve">How do regional latency and data-residency rules change promotion pipelines for Kenya-centric deployments?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Roadmap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Deeper cPanel runbooks, then multi-region patterns labelled by maturity.</w:t>
      </w:r>
    </w:p>
    <w:p>
      <w:pPr>
        <w:pBdr>
          <w:bottom w:val="single" w:color="D9DEE2" w:sz="4" w:space="1"/>
        </w:pBdr>
        <w:spacing w:after="200"/>
      </w:pPr>
    </w:p>
    <w:p>
      <w:pPr>
        <w:spacing w:after="140" w:line="300"/>
      </w:pPr>
      <w:r>
        <w:rPr>
          <w:i/>
          <w:iCs/>
          <w:color w:val="6B7280"/>
          <w:sz w:val="21"/>
          <w:szCs w:val="21"/>
        </w:rPr>
        <w:t xml:space="preserve">Status: FoxCloud is labelled "production-adjacent" in the FoxHeight Continuum product registry. This label reflects verified implementation state, not a marketing claim. Source: SOURCE_DATA/products/foxcloud.json.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39efe98ddfcab9f621be3300028ab92a0642593a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2026-08-22T06:36:33.662Z</dcterms:created>
  <dcterms:modified xsi:type="dcterms:W3CDTF">2026-08-22T06:36:33.662Z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