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200"/>
      </w:pPr>
    </w:p>
    <w:p>
      <w:pPr>
        <w:jc w:val="center"/>
      </w:pPr>
      <w:r>
        <w:drawing>
          <wp:inline distT="0" distB="0" distL="0" distR="0">
            <wp:extent cx="1238250" cy="10191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40" w:before="160"/>
        <w:jc w:val="center"/>
      </w:pPr>
      <w:r>
        <w:rPr>
          <w:b/>
          <w:bCs/>
          <w:color w:val="0B1F33"/>
          <w:sz w:val="56"/>
          <w:szCs w:val="56"/>
        </w:rPr>
        <w:t xml:space="preserve">FoxFuture</w:t>
      </w:r>
    </w:p>
    <w:p>
      <w:pPr>
        <w:spacing w:after="200"/>
        <w:jc w:val="center"/>
      </w:pPr>
      <w:r>
        <w:rPr>
          <w:i/>
          <w:iCs/>
          <w:color w:val="6B7280"/>
          <w:sz w:val="22"/>
          <w:szCs w:val="22"/>
        </w:rPr>
        <w:t xml:space="preserve">2050 vision scenarios</w:t>
      </w:r>
    </w:p>
    <w:tbl>
      <w:tblPr>
        <w:tblW w:type="dxa" w:w="5200"/>
        <w:jc w:val="center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2600"/>
        <w:gridCol w:w="2600"/>
      </w:tblGrid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1F33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pacing w:val="10"/>
                <w:sz w:val="16"/>
                <w:szCs w:val="16"/>
              </w:rPr>
              <w:t xml:space="preserve">VISION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3A89E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pacing w:val="10"/>
                <w:sz w:val="16"/>
                <w:szCs w:val="16"/>
              </w:rPr>
              <w:t xml:space="preserve">2050 VISION (CONCEPTUAL)</w:t>
            </w:r>
          </w:p>
        </w:tc>
      </w:tr>
    </w:tbl>
    <w:p>
      <w:pPr>
        <w:spacing w:after="260"/>
      </w:pPr>
    </w:p>
    <w:p>
      <w:pPr>
        <w:pBdr>
          <w:bottom w:val="single" w:color="D9DEE2" w:sz="4" w:space="1"/>
        </w:pBdr>
        <w:spacing w:after="200"/>
      </w:pP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Product Overview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Mission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FoxFuture holds long-horizon scenarios with radical honesty: vision is labelled vision, evidence is labelled evidence.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What it is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2050-oriented exploration product. Multi-path, uncertain, and never sold as a committed roadmap.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Core Capabilities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Scenario framing tools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Horizon maps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Vision labelling discipline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Cross-links to Continuum research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Use Cases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Scenario workshops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Board horizon sessions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Research storytelling</w:t>
      </w: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Technology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Architecture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Timeline horizons and scenario branches. Each statement carries a tag: evidence, scenario, hypothesis, or vision.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Security Posture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Prevent vision language from leaking into production claims on other product pages.</w:t>
      </w: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Ecosystem &amp; Roadmap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Declared Relations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FoxFuture EXTENDS continuum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Open Research Question</w:t>
      </w:r>
    </w:p>
    <w:p>
      <w:pPr>
        <w:spacing w:after="140" w:line="300"/>
      </w:pPr>
      <w:r>
        <w:rPr>
          <w:i/>
          <w:iCs/>
          <w:color w:val="222222"/>
          <w:sz w:val="21"/>
          <w:szCs w:val="21"/>
        </w:rPr>
        <w:t xml:space="preserve">How should organisations plan under deep uncertainty without freezing or over-promising?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Roadmap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Curated scenario packs; still 2050-vision maturity.</w:t>
      </w:r>
    </w:p>
    <w:p>
      <w:pPr>
        <w:pBdr>
          <w:bottom w:val="single" w:color="D9DEE2" w:sz="4" w:space="1"/>
        </w:pBdr>
        <w:spacing w:after="200"/>
      </w:pPr>
    </w:p>
    <w:p>
      <w:pPr>
        <w:spacing w:after="140" w:line="300"/>
      </w:pPr>
      <w:r>
        <w:rPr>
          <w:i/>
          <w:iCs/>
          <w:color w:val="6B7280"/>
          <w:sz w:val="21"/>
          <w:szCs w:val="21"/>
        </w:rPr>
        <w:t xml:space="preserve">Status: FoxFuture is labelled "2050-vision" in the FoxHeight Continuum product registry. This label reflects verified implementation state, not a marketing claim. Source: SOURCE_DATA/products/foxfuture.json.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ff7cca030f6ef7ef1d1abc9f95e85d3623c815af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2026-08-22T06:36:34.125Z</dcterms:created>
  <dcterms:modified xsi:type="dcterms:W3CDTF">2026-08-22T06:36:34.125Z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