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0" w:before="200"/>
      </w:pPr>
    </w:p>
    <w:p>
      <w:pPr>
        <w:jc w:val="center"/>
      </w:pPr>
      <w:r>
        <w:drawing>
          <wp:inline distT="0" distB="0" distL="0" distR="0">
            <wp:extent cx="1238250" cy="104775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40" w:before="160"/>
        <w:jc w:val="center"/>
      </w:pPr>
      <w:r>
        <w:rPr>
          <w:b/>
          <w:bCs/>
          <w:color w:val="0B1F33"/>
          <w:sz w:val="56"/>
          <w:szCs w:val="56"/>
        </w:rPr>
        <w:t xml:space="preserve">FoxHuman</w:t>
      </w:r>
    </w:p>
    <w:p>
      <w:pPr>
        <w:spacing w:after="200"/>
        <w:jc w:val="center"/>
      </w:pPr>
      <w:r>
        <w:rPr>
          <w:i/>
          <w:iCs/>
          <w:color w:val="6B7280"/>
          <w:sz w:val="22"/>
          <w:szCs w:val="22"/>
        </w:rPr>
        <w:t xml:space="preserve">Human systems and oversight</w:t>
      </w:r>
    </w:p>
    <w:tbl>
      <w:tblPr>
        <w:tblW w:type="dxa" w:w="5200"/>
        <w:jc w:val="center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2600"/>
        <w:gridCol w:w="2600"/>
      </w:tblGrid>
      <w:tr>
        <w:tc>
          <w:tcPr>
            <w:tcW w:type="dxa" w:w="2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0B1F33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jc w:val="center"/>
            </w:pPr>
            <w:r>
              <w:rPr>
                <w:b/>
                <w:bCs/>
                <w:color w:val="FFFFFF"/>
                <w:spacing w:val="10"/>
                <w:sz w:val="16"/>
                <w:szCs w:val="16"/>
              </w:rPr>
              <w:t xml:space="preserve">HUMAN</w:t>
            </w:r>
          </w:p>
        </w:tc>
        <w:tc>
          <w:tcPr>
            <w:tcW w:type="dxa" w:w="2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3A89E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jc w:val="center"/>
            </w:pPr>
            <w:r>
              <w:rPr>
                <w:b/>
                <w:bCs/>
                <w:color w:val="FFFFFF"/>
                <w:spacing w:val="10"/>
                <w:sz w:val="16"/>
                <w:szCs w:val="16"/>
              </w:rPr>
              <w:t xml:space="preserve">RESEARCH</w:t>
            </w:r>
          </w:p>
        </w:tc>
      </w:tr>
    </w:tbl>
    <w:p>
      <w:pPr>
        <w:spacing w:after="260"/>
      </w:pPr>
    </w:p>
    <w:p>
      <w:pPr>
        <w:pBdr>
          <w:bottom w:val="single" w:color="D9DEE2" w:sz="4" w:space="1"/>
        </w:pBdr>
        <w:spacing w:after="200"/>
      </w:pPr>
    </w:p>
    <w:p>
      <w:pPr>
        <w:pStyle w:val="Heading1"/>
        <w:pBdr>
          <w:bottom w:val="single" w:color="13A89E" w:sz="8" w:space="4"/>
        </w:pBdr>
        <w:spacing w:after="160" w:before="320"/>
      </w:pPr>
      <w:r>
        <w:rPr>
          <w:b/>
          <w:bCs/>
          <w:color w:val="0B1F33"/>
          <w:sz w:val="30"/>
          <w:szCs w:val="30"/>
        </w:rPr>
        <w:t xml:space="preserve">Product Overview</w:t>
      </w:r>
    </w:p>
    <w:p>
      <w:pPr>
        <w:pStyle w:val="Heading2"/>
        <w:spacing w:after="100" w:before="200"/>
      </w:pPr>
      <w:r>
        <w:rPr>
          <w:b/>
          <w:bCs/>
          <w:color w:val="0B1F33"/>
          <w:sz w:val="24"/>
          <w:szCs w:val="24"/>
        </w:rPr>
        <w:t xml:space="preserve">Mission</w:t>
      </w:r>
    </w:p>
    <w:p>
      <w:pPr>
        <w:spacing w:after="140" w:line="300"/>
      </w:pPr>
      <w:r>
        <w:rPr>
          <w:i w:val="false"/>
          <w:iCs w:val="false"/>
          <w:color w:val="222222"/>
          <w:sz w:val="21"/>
          <w:szCs w:val="21"/>
        </w:rPr>
        <w:t xml:space="preserve">FoxHuman centres people in automated systems: accessibility, oversight UX, and dignity in data collection.</w:t>
      </w:r>
    </w:p>
    <w:p>
      <w:pPr>
        <w:pStyle w:val="Heading2"/>
        <w:spacing w:after="100" w:before="200"/>
      </w:pPr>
      <w:r>
        <w:rPr>
          <w:b/>
          <w:bCs/>
          <w:color w:val="0B1F33"/>
          <w:sz w:val="24"/>
          <w:szCs w:val="24"/>
        </w:rPr>
        <w:t xml:space="preserve">What it is</w:t>
      </w:r>
    </w:p>
    <w:p>
      <w:pPr>
        <w:spacing w:after="140" w:line="300"/>
      </w:pPr>
      <w:r>
        <w:rPr>
          <w:i w:val="false"/>
          <w:iCs w:val="false"/>
          <w:color w:val="222222"/>
          <w:sz w:val="21"/>
          <w:szCs w:val="21"/>
        </w:rPr>
        <w:t xml:space="preserve">HCI and human–machine collaboration patterns for products that otherwise optimise only for machines.</w:t>
      </w:r>
    </w:p>
    <w:p>
      <w:pPr>
        <w:pStyle w:val="Heading2"/>
        <w:spacing w:after="100" w:before="200"/>
      </w:pPr>
      <w:r>
        <w:rPr>
          <w:b/>
          <w:bCs/>
          <w:color w:val="0B1F33"/>
          <w:sz w:val="24"/>
          <w:szCs w:val="24"/>
        </w:rPr>
        <w:t xml:space="preserve">Core Capabilities</w:t>
      </w:r>
    </w:p>
    <w:p>
      <w:pPr>
        <w:pStyle w:val="ListParagraph"/>
        <w:numPr>
          <w:ilvl w:val="0"/>
          <w:numId w:val="1"/>
        </w:numPr>
        <w:spacing w:after="60" w:line="280"/>
      </w:pPr>
      <w:r>
        <w:rPr>
          <w:color w:val="222222"/>
          <w:sz w:val="21"/>
          <w:szCs w:val="21"/>
        </w:rPr>
        <w:t xml:space="preserve">Accessibility baselines</w:t>
      </w:r>
    </w:p>
    <w:p>
      <w:pPr>
        <w:pStyle w:val="ListParagraph"/>
        <w:numPr>
          <w:ilvl w:val="0"/>
          <w:numId w:val="1"/>
        </w:numPr>
        <w:spacing w:after="60" w:line="280"/>
      </w:pPr>
      <w:r>
        <w:rPr>
          <w:color w:val="222222"/>
          <w:sz w:val="21"/>
          <w:szCs w:val="21"/>
        </w:rPr>
        <w:t xml:space="preserve">Oversight UX patterns</w:t>
      </w:r>
    </w:p>
    <w:p>
      <w:pPr>
        <w:pStyle w:val="ListParagraph"/>
        <w:numPr>
          <w:ilvl w:val="0"/>
          <w:numId w:val="1"/>
        </w:numPr>
        <w:spacing w:after="60" w:line="280"/>
      </w:pPr>
      <w:r>
        <w:rPr>
          <w:color w:val="222222"/>
          <w:sz w:val="21"/>
          <w:szCs w:val="21"/>
        </w:rPr>
        <w:t xml:space="preserve">Consent-aware data practices</w:t>
      </w:r>
    </w:p>
    <w:p>
      <w:pPr>
        <w:pStyle w:val="ListParagraph"/>
        <w:numPr>
          <w:ilvl w:val="0"/>
          <w:numId w:val="1"/>
        </w:numPr>
        <w:spacing w:after="60" w:line="280"/>
      </w:pPr>
      <w:r>
        <w:rPr>
          <w:color w:val="222222"/>
          <w:sz w:val="21"/>
          <w:szCs w:val="21"/>
        </w:rPr>
        <w:t xml:space="preserve">Decision-support layout notes</w:t>
      </w:r>
    </w:p>
    <w:p>
      <w:pPr>
        <w:pStyle w:val="Heading2"/>
        <w:spacing w:after="100" w:before="200"/>
      </w:pPr>
      <w:r>
        <w:rPr>
          <w:b/>
          <w:bCs/>
          <w:color w:val="0B1F33"/>
          <w:sz w:val="24"/>
          <w:szCs w:val="24"/>
        </w:rPr>
        <w:t xml:space="preserve">Use Cases</w:t>
      </w:r>
    </w:p>
    <w:p>
      <w:pPr>
        <w:pStyle w:val="ListParagraph"/>
        <w:numPr>
          <w:ilvl w:val="0"/>
          <w:numId w:val="1"/>
        </w:numPr>
        <w:spacing w:after="60" w:line="280"/>
      </w:pPr>
      <w:r>
        <w:rPr>
          <w:color w:val="222222"/>
          <w:sz w:val="21"/>
          <w:szCs w:val="21"/>
        </w:rPr>
        <w:t xml:space="preserve">Accessibility reviews</w:t>
      </w:r>
    </w:p>
    <w:p>
      <w:pPr>
        <w:pStyle w:val="ListParagraph"/>
        <w:numPr>
          <w:ilvl w:val="0"/>
          <w:numId w:val="1"/>
        </w:numPr>
        <w:spacing w:after="60" w:line="280"/>
      </w:pPr>
      <w:r>
        <w:rPr>
          <w:color w:val="222222"/>
          <w:sz w:val="21"/>
          <w:szCs w:val="21"/>
        </w:rPr>
        <w:t xml:space="preserve">Approval UX tests</w:t>
      </w:r>
    </w:p>
    <w:p>
      <w:pPr>
        <w:pStyle w:val="ListParagraph"/>
        <w:numPr>
          <w:ilvl w:val="0"/>
          <w:numId w:val="1"/>
        </w:numPr>
        <w:spacing w:after="60" w:line="280"/>
      </w:pPr>
      <w:r>
        <w:rPr>
          <w:color w:val="222222"/>
          <w:sz w:val="21"/>
          <w:szCs w:val="21"/>
        </w:rPr>
        <w:t xml:space="preserve">Consent copy workshops</w:t>
      </w:r>
    </w:p>
    <w:p>
      <w:pPr>
        <w:pStyle w:val="Heading1"/>
        <w:pBdr>
          <w:bottom w:val="single" w:color="13A89E" w:sz="8" w:space="4"/>
        </w:pBdr>
        <w:spacing w:after="160" w:before="320"/>
      </w:pPr>
      <w:r>
        <w:rPr>
          <w:b/>
          <w:bCs/>
          <w:color w:val="0B1F33"/>
          <w:sz w:val="30"/>
          <w:szCs w:val="30"/>
        </w:rPr>
        <w:t xml:space="preserve">Technology</w:t>
      </w:r>
    </w:p>
    <w:p>
      <w:pPr>
        <w:pStyle w:val="Heading2"/>
        <w:spacing w:after="100" w:before="200"/>
      </w:pPr>
      <w:r>
        <w:rPr>
          <w:b/>
          <w:bCs/>
          <w:color w:val="0B1F33"/>
          <w:sz w:val="24"/>
          <w:szCs w:val="24"/>
        </w:rPr>
        <w:t xml:space="preserve">Architecture</w:t>
      </w:r>
    </w:p>
    <w:p>
      <w:pPr>
        <w:spacing w:after="140" w:line="300"/>
      </w:pPr>
      <w:r>
        <w:rPr>
          <w:i w:val="false"/>
          <w:iCs w:val="false"/>
          <w:color w:val="222222"/>
          <w:sz w:val="21"/>
          <w:szCs w:val="21"/>
        </w:rPr>
        <w:t xml:space="preserve">Interfaces expose system state. Oversight workflows are designed with fatigue and error in mind.</w:t>
      </w:r>
    </w:p>
    <w:p>
      <w:pPr>
        <w:pStyle w:val="Heading2"/>
        <w:spacing w:after="100" w:before="200"/>
      </w:pPr>
      <w:r>
        <w:rPr>
          <w:b/>
          <w:bCs/>
          <w:color w:val="0B1F33"/>
          <w:sz w:val="24"/>
          <w:szCs w:val="24"/>
        </w:rPr>
        <w:t xml:space="preserve">Security Posture</w:t>
      </w:r>
    </w:p>
    <w:p>
      <w:pPr>
        <w:spacing w:after="140" w:line="300"/>
      </w:pPr>
      <w:r>
        <w:rPr>
          <w:i w:val="false"/>
          <w:iCs w:val="false"/>
          <w:color w:val="222222"/>
          <w:sz w:val="21"/>
          <w:szCs w:val="21"/>
        </w:rPr>
        <w:t xml:space="preserve">Consent and minimisation apply to human data. Surveillance features are out of scope for this line’s ethics.</w:t>
      </w:r>
    </w:p>
    <w:p>
      <w:pPr>
        <w:pStyle w:val="Heading1"/>
        <w:pBdr>
          <w:bottom w:val="single" w:color="13A89E" w:sz="8" w:space="4"/>
        </w:pBdr>
        <w:spacing w:after="160" w:before="320"/>
      </w:pPr>
      <w:r>
        <w:rPr>
          <w:b/>
          <w:bCs/>
          <w:color w:val="0B1F33"/>
          <w:sz w:val="30"/>
          <w:szCs w:val="30"/>
        </w:rPr>
        <w:t xml:space="preserve">Ecosystem &amp; Roadmap</w:t>
      </w:r>
    </w:p>
    <w:p>
      <w:pPr>
        <w:pStyle w:val="Heading2"/>
        <w:spacing w:after="100" w:before="200"/>
      </w:pPr>
      <w:r>
        <w:rPr>
          <w:b/>
          <w:bCs/>
          <w:color w:val="0B1F33"/>
          <w:sz w:val="24"/>
          <w:szCs w:val="24"/>
        </w:rPr>
        <w:t xml:space="preserve">Declared Relations</w:t>
      </w:r>
    </w:p>
    <w:p>
      <w:pPr>
        <w:pStyle w:val="ListParagraph"/>
        <w:numPr>
          <w:ilvl w:val="0"/>
          <w:numId w:val="1"/>
        </w:numPr>
        <w:spacing w:after="60" w:line="280"/>
      </w:pPr>
      <w:r>
        <w:rPr>
          <w:color w:val="222222"/>
          <w:sz w:val="21"/>
          <w:szCs w:val="21"/>
        </w:rPr>
        <w:t xml:space="preserve">FoxHuman SUPPORTS foxai</w:t>
      </w:r>
    </w:p>
    <w:p>
      <w:pPr>
        <w:pStyle w:val="Heading2"/>
        <w:spacing w:after="100" w:before="200"/>
      </w:pPr>
      <w:r>
        <w:rPr>
          <w:b/>
          <w:bCs/>
          <w:color w:val="0B1F33"/>
          <w:sz w:val="24"/>
          <w:szCs w:val="24"/>
        </w:rPr>
        <w:t xml:space="preserve">Open Research Question</w:t>
      </w:r>
    </w:p>
    <w:p>
      <w:pPr>
        <w:spacing w:after="140" w:line="300"/>
      </w:pPr>
      <w:r>
        <w:rPr>
          <w:i/>
          <w:iCs/>
          <w:color w:val="222222"/>
          <w:sz w:val="21"/>
          <w:szCs w:val="21"/>
        </w:rPr>
        <w:t xml:space="preserve">How do we measure decision quality when AI suggestions are present without creating automation bias studies we cannot run?</w:t>
      </w:r>
    </w:p>
    <w:p>
      <w:pPr>
        <w:pStyle w:val="Heading2"/>
        <w:spacing w:after="100" w:before="200"/>
      </w:pPr>
      <w:r>
        <w:rPr>
          <w:b/>
          <w:bCs/>
          <w:color w:val="0B1F33"/>
          <w:sz w:val="24"/>
          <w:szCs w:val="24"/>
        </w:rPr>
        <w:t xml:space="preserve">Roadmap</w:t>
      </w:r>
    </w:p>
    <w:p>
      <w:pPr>
        <w:spacing w:after="140" w:line="300"/>
      </w:pPr>
      <w:r>
        <w:rPr>
          <w:i w:val="false"/>
          <w:iCs w:val="false"/>
          <w:color w:val="222222"/>
          <w:sz w:val="21"/>
          <w:szCs w:val="21"/>
        </w:rPr>
        <w:t xml:space="preserve">Bake FoxHuman checks into portal form and product UI reviews.</w:t>
      </w:r>
    </w:p>
    <w:p>
      <w:pPr>
        <w:pBdr>
          <w:bottom w:val="single" w:color="D9DEE2" w:sz="4" w:space="1"/>
        </w:pBdr>
        <w:spacing w:after="200"/>
      </w:pPr>
    </w:p>
    <w:p>
      <w:pPr>
        <w:spacing w:after="140" w:line="300"/>
      </w:pPr>
      <w:r>
        <w:rPr>
          <w:i/>
          <w:iCs/>
          <w:color w:val="6B7280"/>
          <w:sz w:val="21"/>
          <w:szCs w:val="21"/>
        </w:rPr>
        <w:t xml:space="preserve">Status: FoxHuman is labelled "research" in the FoxHeight Continuum product registry. This label reflects verified implementation state, not a marketing claim. Source: SOURCE_DATA/products/foxhuman.json.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afb4e6f7a10826e823bbf66d320726000b34edb9.png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2026-08-22T06:36:34.099Z</dcterms:created>
  <dcterms:modified xsi:type="dcterms:W3CDTF">2026-08-22T06:36:34.099Z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